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21F55" w14:textId="77777777" w:rsidR="00F4315F" w:rsidRDefault="00F4315F" w:rsidP="00F4315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Практикалық сабақ ПС-</w:t>
      </w:r>
      <w:r w:rsidRPr="00B94087">
        <w:rPr>
          <w:rFonts w:ascii="Times New Roman" w:hAnsi="Times New Roman" w:cs="Times New Roman"/>
          <w:sz w:val="28"/>
          <w:szCs w:val="28"/>
          <w:lang w:val="kk-KZ"/>
        </w:rPr>
        <w:t xml:space="preserve">11.   </w:t>
      </w:r>
      <w:r w:rsidRPr="0040329D">
        <w:rPr>
          <w:rFonts w:ascii="Times New Roman" w:hAnsi="Times New Roman" w:cs="Times New Roman"/>
          <w:sz w:val="28"/>
          <w:szCs w:val="28"/>
          <w:lang w:val="kk-KZ"/>
        </w:rPr>
        <w:t>ҚР мемлекеттік және азаматтық қызметтегі өзгерістерді басқарудағы құралдар мен технологияларды қолдануды</w:t>
      </w:r>
    </w:p>
    <w:p w14:paraId="4FB8D4C6" w14:textId="77777777" w:rsidR="00F4315F" w:rsidRDefault="00F4315F" w:rsidP="00F4315F">
      <w:pPr>
        <w:spacing w:after="0" w:line="240" w:lineRule="auto"/>
        <w:ind w:firstLine="709"/>
        <w:jc w:val="both"/>
        <w:rPr>
          <w:rFonts w:ascii="Times New Roman" w:hAnsi="Times New Roman" w:cs="Times New Roman"/>
          <w:sz w:val="28"/>
          <w:szCs w:val="28"/>
          <w:lang w:val="kk-KZ"/>
        </w:rPr>
      </w:pPr>
      <w:r w:rsidRPr="006A18D4">
        <w:rPr>
          <w:rFonts w:ascii="Times New Roman" w:hAnsi="Times New Roman" w:cs="Times New Roman"/>
          <w:sz w:val="28"/>
          <w:szCs w:val="28"/>
          <w:lang w:val="kk-KZ"/>
        </w:rPr>
        <w:t xml:space="preserve">Сабақтың  мақсаты – Студенттерге  </w:t>
      </w:r>
      <w:r w:rsidRPr="0040329D">
        <w:rPr>
          <w:rFonts w:ascii="Times New Roman" w:hAnsi="Times New Roman" w:cs="Times New Roman"/>
          <w:sz w:val="28"/>
          <w:szCs w:val="28"/>
          <w:lang w:val="kk-KZ"/>
        </w:rPr>
        <w:t>ҚР мемлекеттік және азаматтық қызметтегі өзгерістерді басқарудағы құралдар мен технологияларды қолдануды</w:t>
      </w:r>
    </w:p>
    <w:p w14:paraId="00C7820E" w14:textId="77777777" w:rsidR="00F4315F" w:rsidRPr="006A18D4" w:rsidRDefault="00F4315F" w:rsidP="00F4315F">
      <w:pPr>
        <w:tabs>
          <w:tab w:val="left" w:pos="0"/>
        </w:tabs>
        <w:spacing w:after="0" w:line="240" w:lineRule="auto"/>
        <w:jc w:val="both"/>
        <w:rPr>
          <w:rFonts w:ascii="Times New Roman" w:hAnsi="Times New Roman" w:cs="Times New Roman"/>
          <w:sz w:val="28"/>
          <w:szCs w:val="28"/>
          <w:lang w:val="kk-KZ"/>
        </w:rPr>
      </w:pPr>
      <w:r w:rsidRPr="006A18D4">
        <w:rPr>
          <w:rFonts w:ascii="Times New Roman" w:hAnsi="Times New Roman" w:cs="Times New Roman"/>
          <w:sz w:val="28"/>
          <w:szCs w:val="28"/>
          <w:lang w:val="kk-KZ"/>
        </w:rPr>
        <w:t xml:space="preserve"> жан-жақты кешенді </w:t>
      </w:r>
      <w:r>
        <w:rPr>
          <w:rFonts w:ascii="Times New Roman" w:hAnsi="Times New Roman" w:cs="Times New Roman"/>
          <w:bCs/>
          <w:sz w:val="28"/>
          <w:szCs w:val="28"/>
          <w:lang w:val="kk-KZ"/>
        </w:rPr>
        <w:t>пікір алмасу</w:t>
      </w:r>
      <w:r>
        <w:rPr>
          <w:rFonts w:ascii="Times New Roman" w:hAnsi="Times New Roman" w:cs="Times New Roman"/>
          <w:sz w:val="28"/>
          <w:szCs w:val="28"/>
          <w:lang w:val="kk-KZ" w:eastAsia="ko-KR"/>
        </w:rPr>
        <w:t xml:space="preserve"> және ой-тұжырымдар жасау</w:t>
      </w:r>
    </w:p>
    <w:p w14:paraId="00D50990" w14:textId="77777777" w:rsidR="00F4315F" w:rsidRPr="006A18D4" w:rsidRDefault="00F4315F" w:rsidP="00F4315F">
      <w:pPr>
        <w:tabs>
          <w:tab w:val="left" w:pos="1380"/>
        </w:tabs>
        <w:spacing w:after="0" w:line="240" w:lineRule="auto"/>
        <w:jc w:val="both"/>
        <w:rPr>
          <w:rFonts w:ascii="Times New Roman" w:hAnsi="Times New Roman" w:cs="Times New Roman"/>
          <w:sz w:val="28"/>
          <w:szCs w:val="28"/>
          <w:lang w:val="kk-KZ"/>
        </w:rPr>
      </w:pPr>
      <w:r w:rsidRPr="006A18D4">
        <w:rPr>
          <w:rFonts w:ascii="Times New Roman" w:hAnsi="Times New Roman" w:cs="Times New Roman"/>
          <w:sz w:val="28"/>
          <w:szCs w:val="28"/>
          <w:lang w:val="kk-KZ"/>
        </w:rPr>
        <w:t>Сұрақтар:</w:t>
      </w:r>
    </w:p>
    <w:p w14:paraId="07DC8ED1" w14:textId="77777777" w:rsidR="00F4315F" w:rsidRPr="0040329D" w:rsidRDefault="00F4315F" w:rsidP="00F4315F">
      <w:pPr>
        <w:pStyle w:val="a3"/>
        <w:numPr>
          <w:ilvl w:val="0"/>
          <w:numId w:val="2"/>
        </w:numPr>
        <w:tabs>
          <w:tab w:val="left" w:pos="1380"/>
        </w:tabs>
        <w:spacing w:after="0" w:line="240" w:lineRule="auto"/>
        <w:ind w:left="0"/>
        <w:jc w:val="both"/>
        <w:rPr>
          <w:rFonts w:ascii="Times New Roman" w:hAnsi="Times New Roman" w:cs="Times New Roman"/>
          <w:sz w:val="28"/>
          <w:szCs w:val="28"/>
          <w:lang w:val="kk-KZ"/>
        </w:rPr>
      </w:pPr>
      <w:r w:rsidRPr="0040329D">
        <w:rPr>
          <w:rFonts w:ascii="Times New Roman" w:hAnsi="Times New Roman" w:cs="Times New Roman"/>
          <w:sz w:val="28"/>
          <w:szCs w:val="28"/>
          <w:lang w:val="kk-KZ"/>
        </w:rPr>
        <w:t>ҚР мемлекеттік және азаматтық қызметтегі өзгерістерді басқарудағы құралдар</w:t>
      </w:r>
    </w:p>
    <w:p w14:paraId="335F9B10" w14:textId="77777777" w:rsidR="00F4315F" w:rsidRPr="0040329D" w:rsidRDefault="00F4315F" w:rsidP="00F4315F">
      <w:pPr>
        <w:pStyle w:val="a3"/>
        <w:numPr>
          <w:ilvl w:val="0"/>
          <w:numId w:val="2"/>
        </w:numPr>
        <w:tabs>
          <w:tab w:val="left" w:pos="1380"/>
        </w:tabs>
        <w:spacing w:after="0" w:line="240" w:lineRule="auto"/>
        <w:ind w:left="0"/>
        <w:jc w:val="both"/>
        <w:rPr>
          <w:rFonts w:eastAsia="Calibri" w:cs="Times New Roman"/>
          <w:bCs/>
          <w:color w:val="000000" w:themeColor="text1"/>
          <w:sz w:val="20"/>
          <w:szCs w:val="20"/>
          <w:lang w:val="kk-KZ"/>
        </w:rPr>
      </w:pPr>
      <w:r>
        <w:rPr>
          <w:rFonts w:ascii="Times New Roman" w:hAnsi="Times New Roman" w:cs="Times New Roman"/>
          <w:sz w:val="28"/>
          <w:szCs w:val="28"/>
          <w:lang w:val="kk-KZ"/>
        </w:rPr>
        <w:t>М</w:t>
      </w:r>
      <w:r w:rsidRPr="0040329D">
        <w:rPr>
          <w:rFonts w:ascii="Times New Roman" w:hAnsi="Times New Roman" w:cs="Times New Roman"/>
          <w:sz w:val="28"/>
          <w:szCs w:val="28"/>
          <w:lang w:val="kk-KZ"/>
        </w:rPr>
        <w:t>емлекеттік және азаматтық қызметтегі өзгерістерді басқаруда технологияларды қолдан</w:t>
      </w:r>
      <w:r>
        <w:rPr>
          <w:rFonts w:ascii="Times New Roman" w:hAnsi="Times New Roman" w:cs="Times New Roman"/>
          <w:sz w:val="28"/>
          <w:szCs w:val="28"/>
          <w:lang w:val="kk-KZ"/>
        </w:rPr>
        <w:t>у</w:t>
      </w:r>
    </w:p>
    <w:p w14:paraId="75CC89AD"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Мемлекеттік және азаматтық қызметтегі өзгерістерді басқарудағы құралдар мен технологияларды қолдану "Экономика салаларын цифрландыру" - еңбек өнімділігін арттыруға және капиталдандырудың өсуіне алып келетін озық технологиялар мен мүмкіндіктерді пайдалана отырып, Қазақстан Республикасы экономикасының дәстүрлі салаларын түрлендіру бағыты.</w:t>
      </w:r>
    </w:p>
    <w:p w14:paraId="42CAA2EA"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 xml:space="preserve"> "Цифрлық мемлекетке көшу" - қажеттіліктерін күні бұрын біліп халық пен бизнеске қызмет көрсету инфрақұрылымы ретінде мемлекеттің функцияларын түрлендіру бағыты.</w:t>
      </w:r>
    </w:p>
    <w:p w14:paraId="72D8C897"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 xml:space="preserve"> "Цифрлық Жібек жолын іске асыру" - ішкі контур үшін де, Қазақстан</w:t>
      </w:r>
    </w:p>
    <w:p w14:paraId="0194440B"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Республикасының транзиттік әлеуетін іске асыру үшін деректерді берудің, сақтаудың және өңдеудің жылдамдығы жоғары және қорғалған инфрақұрылымын дамыту бағыты.</w:t>
      </w:r>
    </w:p>
    <w:p w14:paraId="3002FECA"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"Адами капиталды дамыту" - жаңа жағдайға - білім экономикасына көшуді қамтамасыз ету үшін креативті қоғам деп аталатынды құруды қамтитын түрлендіру бағыты.</w:t>
      </w:r>
    </w:p>
    <w:p w14:paraId="7DF545F9"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 xml:space="preserve"> "Инновациялық экожүйені құру" - бизнес, ғылыми сала және мемлекет</w:t>
      </w:r>
    </w:p>
    <w:p w14:paraId="458A6ECF"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арасындағы орнықты көлденең байланыстармен технологиялық кәсіпкерлік пен  инновацияны дамыту үшін жағдай жасау бағыты. Мемлекет инновацияларды өндіріске   шығаруға, бейімдеуге және енгізуге қабілетті экожүйе катализаторы ретінде әрекет етеді.</w:t>
      </w:r>
    </w:p>
    <w:p w14:paraId="6AC9DB7B"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Көрсетілген бес бағыттың шеңберінде 17 бастама мен 100-ден астам іс-шара  қалыптастырылды, оларды іске асырудан түсетін қайтарылымды алдағы жылдардың ішінде айқын көруге болады, сондай-ақ болашақ экономикасының жаңа саласы ретінде цифрлық секторды қалыптастыруға негіз болатын іс-шаралардың негізгі нәтижесін келесі онжылдықтан байқауға болады.</w:t>
      </w:r>
    </w:p>
    <w:p w14:paraId="5CF5E72E"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Бағдарламаны іске асыру республикалық бюджет қаражатынан 141 млрд. Теңге  көлемінде қаржыландыруды тартуды болжайды. Сондай-ақ квазимемлекеттік сектор субъектілерінен 169 млрд. теңге қаражат тартылады деп күтілуде.</w:t>
      </w:r>
    </w:p>
    <w:p w14:paraId="60B2C652"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 xml:space="preserve">Бағдарламаны іске асыру бенефициарлары Қазақстан Республикасының барлық халқы, бизнес және мемлекеттік органдары болады, өйткені ол өмірдің барлық салаларына әсер етеді және мемлекеттің әрбір азаматы мен тұрғынының өмір сүру деңгейін арттыруға бағытталған. Бағдарлама </w:t>
      </w:r>
      <w:r w:rsidRPr="00135E13">
        <w:rPr>
          <w:rFonts w:ascii="Times New Roman" w:hAnsi="Times New Roman" w:cs="Times New Roman"/>
          <w:sz w:val="28"/>
          <w:szCs w:val="28"/>
          <w:lang w:val="kk-KZ"/>
        </w:rPr>
        <w:lastRenderedPageBreak/>
        <w:t>жұмыспен қамту құрылымында елеулі өзгерістерге әкеледі - атап айтқанда, 2022 жылға қарай цифрландыру есебінен 300 жұмыс орны құрылады.</w:t>
      </w:r>
    </w:p>
    <w:p w14:paraId="456F263C"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 xml:space="preserve">Қазақстан экономикасын цифрландырудың қазіргі орташа деңгейі бүгінгі күні  кедергі болмайды, бірақ дамуға сапалы серпіліс жасау мүмкіндік, бұл елімізді әлемдік аренада бірінші орынға шығаруға мүмкіндік береді. Ол үшін сипатталған бес бағыт бойынша және оған қосымшада аталған іс-шаралар шеңберінде шаралар кешенін және жүйелі жұмыстар қабылдау болжанады. </w:t>
      </w:r>
    </w:p>
    <w:p w14:paraId="541A9B98"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Мемлекет пен бизнестің өзара іс-қимылын цифрландыру кәсіпкерлердің</w:t>
      </w:r>
    </w:p>
    <w:p w14:paraId="1BD00138"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транзакциялық шығындарын төмендетуге, мемлекеттік органдар мен ұйымдар тарапынан қабылданатын шешімдердің ашықтығын арттыруға бағытталған.</w:t>
      </w:r>
    </w:p>
    <w:p w14:paraId="15CB8382"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Іс-шаралар кәсіпкерлерді "жапсарсыз" қызметтермен қамтамасыз етуге және бизнеске арналған "бірыңғай терезе" – халыққа қызмет көрсету орталықтарын құру тәжірибесіне ұқсас қағидатын іске асыру инфрақұрылымын құруға бағытталады.</w:t>
      </w:r>
    </w:p>
    <w:p w14:paraId="3B80D49D"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Аталған бастама негізгі болады және шағын, орта бизнесті қаржылық және қаржылық емес қолдау шараларының ашықтығын және оңайлатуды қамтамасыз етуді, сондай-ақ заңды тұлғаларға басқа да мемлекеттік қызметтерді көрсетуді көздейді. Бұдан басқа әлемдік тәжірибені, атап айтқанда "SMEs Go Digital" сингапурлық бағдарламаны ескере отырып, шағын және орта бизнес үшін кәсіпкерлерге бірыңғай тұғырнамада бухгалтерия, адамдар ресурстарын басқару, қаржылық талдау және басқалары секілді түрлі АТ-сервистерге қолжетімділік ұйымдастырылады.</w:t>
      </w:r>
    </w:p>
    <w:p w14:paraId="58696253"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Келесі маңызды бағыт ол табысты іске асырылғанда, салықтық және</w:t>
      </w:r>
    </w:p>
    <w:p w14:paraId="5DEDFB71"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кедендік әкімшілендіру сапасы артатын шаралар кешені болып табылады.</w:t>
      </w:r>
    </w:p>
    <w:p w14:paraId="0DD41078"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Импорттық және экспорттық операцияларды жүзеге асыру кезінде</w:t>
      </w:r>
    </w:p>
    <w:p w14:paraId="1B888D15"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шығындарды төмендету шаралары, импортталатын тауарлардың сапасын  бақылау тиімділігін арттыру жөніндегі шаралар Қазақстан Республикасы</w:t>
      </w:r>
    </w:p>
    <w:p w14:paraId="60992F06"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Үкіметінің 2017 жылғы 26-тамыздағы Жарлығымен бекітілген "Қазақстан Республикасының 2018-2022 жылдарға арналған Ұлттық экспорттық стратегиясы" Бағдарламасы аясында жүзеге асырылатындығын атап өткен жөн.</w:t>
      </w:r>
    </w:p>
    <w:p w14:paraId="6FADF58F"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Бірыңғай ақпараттық ортаны енгізу және электрондық шот-фактурларды берумен бірге, платформа құра отырып өндірілетін және импортталатын тауарлардың таңбалануын жүргізу жосықсыз бәсекелестіктің алдын алу, шектеу  әуе жолын кесуге, сатып алынатын тауарлардың сапасы мен бағасының кепілдігін, тауардың түпұсқалығын растауды, тауарлардың, оның ішінде контрафактілік тауарларды заңсыз әкелуге, өндірісіне және айналымына қарсы тұруға бағытталған экожүйені құруға мүмкіндік береді.</w:t>
      </w:r>
    </w:p>
    <w:p w14:paraId="7FB25CDE"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Мемлекеттік органдардың ішкі қызметін цифрландыру</w:t>
      </w:r>
    </w:p>
    <w:p w14:paraId="78A19C78"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Мемлекеттік органдар қызметінің тиімділігі кадрлық, бухгалтерлік есепке</w:t>
      </w:r>
    </w:p>
    <w:p w14:paraId="6AFC901E"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lastRenderedPageBreak/>
        <w:t>алу, бюджеттік жоспарлау, мемлекеттік сатып алуды жоспарлау және орындау, басқа мемлекеттік органдармен хат алмасу және сол сияқты күн сайынғы қарбалас операцияларды орындаумен байланысты процестерді автоматтандыру деңгейіне тәуелді. Мемлекеттік органдардың өзара тиімді іс-қимылы және "paperfree" қағидатын сақтау мақсатында одан әрі цифрлық қойманы дамытумен,  бұлыңғыр есептеу қағидаттарына құрылған бизнес-процестерді басқару жүйесін дамыту көзделеді. Осындай үлгілік міндеттерді, басым түрде ақпараттандырудың сервистік моделі бойынша автоматтандыру жұмыстары жалғасатын болады.</w:t>
      </w:r>
    </w:p>
    <w:p w14:paraId="7631B7B8"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Мемлекеттік деңгейде шешімдерді қабылдау процестерін жақсарту үшін</w:t>
      </w:r>
    </w:p>
    <w:p w14:paraId="6C62128A"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үлкен деректер негізінде зияткерлік талдау және болжамдау жүйесін дамыту</w:t>
      </w:r>
    </w:p>
    <w:p w14:paraId="096E2C5A"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бойынша жұмыстардың кешені жүргізілетін болады.  Әлемдік тәжірибе көрсеткендей, әлемнің 40-тан астам үкіметі және Fortune  тізіміндегі 500 компанияның 60%-ы инновациялар үшін архитектуралық тәсілді пайдаланады. Мемлекеттік орган архитектурасы мемлекеттік органдардың</w:t>
      </w:r>
    </w:p>
    <w:p w14:paraId="62A821AE"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қызметін трансформациялауды және автоматтандырыуды жүргізудің ұзақ</w:t>
      </w:r>
    </w:p>
    <w:p w14:paraId="6720F7C3"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мерзімді (5 жыл) стратегиясын қалыптастыруға бағытталатын болады.</w:t>
      </w:r>
    </w:p>
    <w:p w14:paraId="76CDCEBA"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Архитектураны әзірлеу шеңберінде ИТ-жобаларды автоматтандыру мен</w:t>
      </w:r>
    </w:p>
    <w:p w14:paraId="50809C12"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қаржыландырудың басымдықтары айқындалатын болады. Бұл ретте, мемлекет пен қоғамның өзара іс-қимылының анағұрлым қолайы сценарийлерін әзірлеу мақсатында жария талқылау арқылы үкіметтік емес ұйымдар мен азаматтарды тарту болжамдалуда.</w:t>
      </w:r>
    </w:p>
    <w:p w14:paraId="70F04AF5"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"Yellow pages" қағидатын сақтау мақсатында мемлекеттік органдардың</w:t>
      </w:r>
    </w:p>
    <w:p w14:paraId="4D7892D6"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қызметін автоматтандырудың негізгі қағидаты қолданыста бар және жаңадан</w:t>
      </w:r>
    </w:p>
    <w:p w14:paraId="25A60312"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құрылатын ақпараттық жүйелер жеке компаниялармен іске асырылатын әртүрлі  сервистер мен қосымшалар үшін АРІ ұсынатын микросервистік архитектураны іске асыру болады.</w:t>
      </w:r>
    </w:p>
    <w:p w14:paraId="6CD08F85" w14:textId="77777777" w:rsidR="00F4315F" w:rsidRPr="00135E13"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"Қоршаған орта мен табиғи ресурстар мониторингінің бірыңғай мемлекеттік</w:t>
      </w:r>
    </w:p>
    <w:p w14:paraId="181ED42F" w14:textId="77777777" w:rsidR="00F4315F" w:rsidRDefault="00F4315F" w:rsidP="00F4315F">
      <w:pPr>
        <w:spacing w:after="0" w:line="240" w:lineRule="auto"/>
        <w:ind w:firstLine="708"/>
        <w:jc w:val="both"/>
        <w:rPr>
          <w:rFonts w:ascii="Times New Roman" w:hAnsi="Times New Roman" w:cs="Times New Roman"/>
          <w:sz w:val="28"/>
          <w:szCs w:val="28"/>
          <w:lang w:val="kk-KZ"/>
        </w:rPr>
      </w:pPr>
      <w:r w:rsidRPr="00135E13">
        <w:rPr>
          <w:rFonts w:ascii="Times New Roman" w:hAnsi="Times New Roman" w:cs="Times New Roman"/>
          <w:sz w:val="28"/>
          <w:szCs w:val="28"/>
          <w:lang w:val="kk-KZ"/>
        </w:rPr>
        <w:t>жүйесін" құру саяси және құқықтық аспектіде: ұлттық стратегияда тұрақты даму мен экологиялық апаттын алдын алуды іске асыруға көмектесуге; қоршаған орта  ен табиғи ресурстарды қорғау саласында жариялық және қоғамды демократияландыру үдерістерін іске асыруға көмектесуге; қалың бұқара топтарының экологиялық ақпараттық ресурстарға қол жеткізуі үшін қажет</w:t>
      </w:r>
    </w:p>
    <w:p w14:paraId="19832F34" w14:textId="06431970" w:rsidR="00AE036A" w:rsidRPr="00B644B7" w:rsidRDefault="00AE036A" w:rsidP="00AE036A">
      <w:pPr>
        <w:tabs>
          <w:tab w:val="left" w:pos="1200"/>
        </w:tabs>
        <w:jc w:val="center"/>
        <w:rPr>
          <w:rFonts w:ascii="Times New Roman" w:eastAsia="Calibri" w:hAnsi="Times New Roman" w:cs="Times New Roman"/>
          <w:sz w:val="28"/>
          <w:szCs w:val="28"/>
          <w:lang w:val="kk-KZ"/>
        </w:rPr>
      </w:pPr>
      <w:r w:rsidRPr="00B644B7">
        <w:rPr>
          <w:rFonts w:ascii="Times New Roman" w:eastAsia="Times New Roman" w:hAnsi="Times New Roman" w:cs="Times New Roman"/>
          <w:sz w:val="28"/>
          <w:szCs w:val="28"/>
          <w:lang w:val="kk-KZ"/>
        </w:rPr>
        <w:t>ӘДЕБИЕТТЕР</w:t>
      </w:r>
    </w:p>
    <w:p w14:paraId="58B69C61" w14:textId="77777777" w:rsidR="00B644B7" w:rsidRPr="00B644B7" w:rsidRDefault="00000000" w:rsidP="00AE036A">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709A21CF" w14:textId="77777777" w:rsidR="00AE036A" w:rsidRPr="00B644B7" w:rsidRDefault="00AE036A" w:rsidP="00AE036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640FE39B" w14:textId="77777777" w:rsidR="00AE036A" w:rsidRPr="00B644B7" w:rsidRDefault="00AE036A" w:rsidP="00AE036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509B903E" w14:textId="77777777" w:rsidR="00AE036A" w:rsidRPr="00B644B7" w:rsidRDefault="00AE036A" w:rsidP="00AE036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AF979AE" w14:textId="77777777" w:rsidR="00AE036A" w:rsidRPr="00B644B7" w:rsidRDefault="00AE036A" w:rsidP="00AE036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lastRenderedPageBreak/>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4FBDFC46" w14:textId="77777777" w:rsidR="00AE036A" w:rsidRPr="00B644B7" w:rsidRDefault="00AE036A" w:rsidP="00AE036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4683F135" w14:textId="77777777" w:rsidR="00AE036A" w:rsidRPr="00B644B7" w:rsidRDefault="00AE036A" w:rsidP="00AE036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4EC947AF" w14:textId="77777777" w:rsidR="00AE036A" w:rsidRPr="00B644B7" w:rsidRDefault="00AE036A" w:rsidP="00AE036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1ACFDEB7" w14:textId="77777777" w:rsidR="00AE036A" w:rsidRPr="00B644B7" w:rsidRDefault="00AE036A" w:rsidP="00AE036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339FD9AA" w14:textId="77777777" w:rsidR="00AE036A" w:rsidRPr="00B644B7" w:rsidRDefault="00AE036A" w:rsidP="00AE036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166E17AA" w14:textId="77777777" w:rsidR="00AE036A" w:rsidRPr="00B644B7" w:rsidRDefault="00AE036A" w:rsidP="00AE036A">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188EA47C" w14:textId="77777777" w:rsidR="00AE036A" w:rsidRPr="00B644B7" w:rsidRDefault="00AE036A" w:rsidP="00AE036A">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3348E6B7" w14:textId="77777777" w:rsidR="00AE036A" w:rsidRPr="00B644B7" w:rsidRDefault="00AE036A" w:rsidP="00AE036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0EC7C0C4" w14:textId="77777777" w:rsidR="00AE036A" w:rsidRPr="00B644B7" w:rsidRDefault="00AE036A" w:rsidP="00AE036A">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203AE138" w14:textId="77777777" w:rsidR="00AE036A" w:rsidRPr="00B644B7" w:rsidRDefault="00AE036A" w:rsidP="00AE036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0DDED5CC" w14:textId="77777777" w:rsidR="00AE036A" w:rsidRPr="00B644B7" w:rsidRDefault="00AE036A" w:rsidP="00AE036A">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38BCAC48" w14:textId="77777777" w:rsidR="00AE036A" w:rsidRPr="00B644B7" w:rsidRDefault="00AE036A" w:rsidP="00AE036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392A1056" w14:textId="77777777" w:rsidR="00AE036A" w:rsidRPr="00B644B7" w:rsidRDefault="00AE036A" w:rsidP="00AE036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1DC18657" w14:textId="77777777" w:rsidR="00AE036A" w:rsidRPr="00B644B7" w:rsidRDefault="00AE036A" w:rsidP="00AE036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244B7BF1" w14:textId="77777777" w:rsidR="00AE036A" w:rsidRPr="00B644B7" w:rsidRDefault="00AE036A" w:rsidP="00AE036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7EDE9933" w14:textId="77777777" w:rsidR="00AE036A" w:rsidRPr="00B644B7" w:rsidRDefault="00AE036A" w:rsidP="00AE036A">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3CA832C3" w14:textId="77777777" w:rsidR="00AE036A" w:rsidRPr="00B644B7" w:rsidRDefault="00AE036A" w:rsidP="00AE036A">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1BB038C9" w14:textId="77777777" w:rsidR="00AE036A" w:rsidRPr="00B644B7" w:rsidRDefault="00AE036A" w:rsidP="00AE036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527F379B" w14:textId="77777777" w:rsidR="00AE036A" w:rsidRPr="00B644B7" w:rsidRDefault="00AE036A" w:rsidP="00AE036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7585252C" w14:textId="77777777" w:rsidR="00AE036A" w:rsidRPr="00B644B7" w:rsidRDefault="00AE036A" w:rsidP="00AE036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0FF01075" w14:textId="77777777" w:rsidR="00AE036A" w:rsidRPr="00B644B7" w:rsidRDefault="00AE036A" w:rsidP="00AE036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7B41B92" w14:textId="77777777" w:rsidR="00AE036A" w:rsidRPr="00B644B7" w:rsidRDefault="00AE036A" w:rsidP="00AE036A">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239252F5" w14:textId="77777777" w:rsidR="00AE036A" w:rsidRPr="00B644B7" w:rsidRDefault="00AE036A" w:rsidP="00AE036A">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3F854D35" w14:textId="77777777" w:rsidR="00AE036A" w:rsidRPr="00B644B7" w:rsidRDefault="00AE036A" w:rsidP="00AE036A">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77EFB9AD" w14:textId="77777777" w:rsidR="00AE036A" w:rsidRPr="00B644B7" w:rsidRDefault="00AE036A" w:rsidP="00AE036A">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42B3105E" w14:textId="77777777" w:rsidR="00AE036A" w:rsidRPr="00B644B7" w:rsidRDefault="00AE036A" w:rsidP="00AE036A">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6A87BCFD" w14:textId="77777777" w:rsidR="00AE036A" w:rsidRPr="00B644B7" w:rsidRDefault="00AE036A" w:rsidP="00AE036A">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46A23C1" w14:textId="77777777" w:rsidR="00AE036A" w:rsidRPr="00B644B7" w:rsidRDefault="00AE036A" w:rsidP="00AE036A">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6EA87E5" w14:textId="77777777" w:rsidR="00AE036A" w:rsidRPr="00B644B7" w:rsidRDefault="00AE036A" w:rsidP="00AE036A">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0E6C1B82" w14:textId="77777777" w:rsidR="00AE036A" w:rsidRPr="00B644B7" w:rsidRDefault="00AE036A" w:rsidP="00AE036A">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6468105C" w14:textId="77777777" w:rsidR="00AE036A" w:rsidRPr="00B644B7" w:rsidRDefault="00AE036A" w:rsidP="00AE036A">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074873DD" w14:textId="77777777" w:rsidR="00AE036A" w:rsidRPr="00B644B7" w:rsidRDefault="00AE036A" w:rsidP="00AE036A">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0191A1FB" w14:textId="77777777" w:rsidR="00AE036A" w:rsidRPr="00B644B7" w:rsidRDefault="00AE036A" w:rsidP="00AE036A">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4AFFD29B" w14:textId="77777777" w:rsidR="00AE036A" w:rsidRPr="00B644B7" w:rsidRDefault="00AE036A" w:rsidP="00AE036A">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533F5588" w14:textId="77777777" w:rsidR="00AE036A" w:rsidRPr="00B644B7" w:rsidRDefault="00AE036A" w:rsidP="00AE036A">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2F381B22" w14:textId="77777777" w:rsidR="00EF6081" w:rsidRPr="00AE036A" w:rsidRDefault="00EF6081">
      <w:pPr>
        <w:rPr>
          <w:lang w:val="kk-KZ"/>
        </w:rPr>
      </w:pPr>
    </w:p>
    <w:sectPr w:rsidR="00EF6081" w:rsidRPr="00AE0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958C2"/>
    <w:multiLevelType w:val="hybridMultilevel"/>
    <w:tmpl w:val="BA4CA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1069576070">
    <w:abstractNumId w:val="1"/>
  </w:num>
  <w:num w:numId="2" w16cid:durableId="171306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2D"/>
    <w:rsid w:val="004D5B0B"/>
    <w:rsid w:val="00753D2D"/>
    <w:rsid w:val="00AE036A"/>
    <w:rsid w:val="00EF6081"/>
    <w:rsid w:val="00F43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54A5"/>
  <w15:chartTrackingRefBased/>
  <w15:docId w15:val="{00FF450F-FA2A-4745-BB99-3257780E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36A"/>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F4315F"/>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F4315F"/>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1741</Words>
  <Characters>9926</Characters>
  <Application>Microsoft Office Word</Application>
  <DocSecurity>0</DocSecurity>
  <Lines>82</Lines>
  <Paragraphs>23</Paragraphs>
  <ScaleCrop>false</ScaleCrop>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2022-12-15T15:42:00Z</dcterms:created>
  <dcterms:modified xsi:type="dcterms:W3CDTF">2022-12-16T04:39:00Z</dcterms:modified>
</cp:coreProperties>
</file>